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072"/>
      </w:tblGrid>
      <w:tr w:rsidR="00411015" w14:paraId="2B2FE5D8" w14:textId="77777777" w:rsidTr="00411015">
        <w:trPr>
          <w:tblCellSpacing w:w="0" w:type="dxa"/>
        </w:trPr>
        <w:tc>
          <w:tcPr>
            <w:tcW w:w="0" w:type="auto"/>
            <w:shd w:val="clear" w:color="auto" w:fill="F2F2F2"/>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1015" w14:paraId="59FDDB5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805"/>
                    <w:gridCol w:w="3195"/>
                  </w:tblGrid>
                  <w:tr w:rsidR="00411015" w14:paraId="5770EFFC" w14:textId="77777777">
                    <w:trPr>
                      <w:tblCellSpacing w:w="0" w:type="dxa"/>
                    </w:trPr>
                    <w:tc>
                      <w:tcPr>
                        <w:tcW w:w="5805"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2214"/>
                          <w:gridCol w:w="3591"/>
                        </w:tblGrid>
                        <w:tr w:rsidR="00411015" w14:paraId="3857291C" w14:textId="77777777">
                          <w:trPr>
                            <w:tblCellSpacing w:w="0" w:type="dxa"/>
                            <w:jc w:val="center"/>
                          </w:trPr>
                          <w:tc>
                            <w:tcPr>
                              <w:tcW w:w="1800" w:type="dxa"/>
                              <w:tcMar>
                                <w:top w:w="300" w:type="dxa"/>
                                <w:left w:w="300" w:type="dxa"/>
                                <w:bottom w:w="300" w:type="dxa"/>
                                <w:right w:w="0" w:type="dxa"/>
                              </w:tcMar>
                              <w:vAlign w:val="center"/>
                              <w:hideMark/>
                            </w:tcPr>
                            <w:p w14:paraId="4899AE3C" w14:textId="6709CE2C" w:rsidR="00411015" w:rsidRDefault="00411015">
                              <w:pPr>
                                <w:jc w:val="center"/>
                                <w:rPr>
                                  <w:rFonts w:ascii="Arial" w:eastAsia="Times New Roman" w:hAnsi="Arial" w:cs="Arial"/>
                                </w:rPr>
                              </w:pPr>
                              <w:r>
                                <w:rPr>
                                  <w:rFonts w:ascii="Arial" w:eastAsia="Times New Roman" w:hAnsi="Arial" w:cs="Arial"/>
                                  <w:noProof/>
                                  <w:color w:val="0000FF"/>
                                </w:rPr>
                                <w:drawing>
                                  <wp:inline distT="0" distB="0" distL="0" distR="0" wp14:anchorId="414343E5" wp14:editId="7EAA519C">
                                    <wp:extent cx="1143000" cy="742950"/>
                                    <wp:effectExtent l="0" t="0" r="0" b="0"/>
                                    <wp:docPr id="4" name="Picture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p>
                          </w:tc>
                          <w:tc>
                            <w:tcPr>
                              <w:tcW w:w="3405" w:type="dxa"/>
                              <w:tcMar>
                                <w:top w:w="0" w:type="dxa"/>
                                <w:left w:w="300" w:type="dxa"/>
                                <w:bottom w:w="300" w:type="dxa"/>
                                <w:right w:w="0" w:type="dxa"/>
                              </w:tcMar>
                              <w:vAlign w:val="bottom"/>
                              <w:hideMark/>
                            </w:tcPr>
                            <w:p w14:paraId="4ABE186D" w14:textId="77777777" w:rsidR="00411015" w:rsidRDefault="00411015">
                              <w:pPr>
                                <w:pStyle w:val="Heading2"/>
                                <w:rPr>
                                  <w:rFonts w:eastAsia="Times New Roman"/>
                                  <w:color w:val="7B98AD"/>
                                </w:rPr>
                              </w:pPr>
                              <w:r>
                                <w:rPr>
                                  <w:rFonts w:eastAsia="Times New Roman"/>
                                  <w:color w:val="7B98AD"/>
                                </w:rPr>
                                <w:t>FRANKFURT</w:t>
                              </w:r>
                            </w:p>
                            <w:p w14:paraId="79BBE543" w14:textId="77777777" w:rsidR="00411015" w:rsidRDefault="00411015">
                              <w:pPr>
                                <w:pStyle w:val="NormalWeb"/>
                                <w:rPr>
                                  <w:color w:val="7B98AD"/>
                                </w:rPr>
                              </w:pPr>
                              <w:r>
                                <w:rPr>
                                  <w:color w:val="7B98AD"/>
                                </w:rPr>
                                <w:t>12 – 14 MAY, 2020</w:t>
                              </w:r>
                            </w:p>
                          </w:tc>
                        </w:tr>
                      </w:tbl>
                      <w:p w14:paraId="02D0F510" w14:textId="77777777" w:rsidR="00411015" w:rsidRDefault="00411015">
                        <w:pPr>
                          <w:jc w:val="center"/>
                          <w:rPr>
                            <w:rFonts w:ascii="Times New Roman" w:eastAsia="Times New Roman" w:hAnsi="Times New Roman" w:cs="Times New Roman"/>
                            <w:sz w:val="20"/>
                            <w:szCs w:val="20"/>
                          </w:rPr>
                        </w:pPr>
                      </w:p>
                    </w:tc>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195"/>
                        </w:tblGrid>
                        <w:tr w:rsidR="00411015" w14:paraId="00D9420A" w14:textId="77777777">
                          <w:trPr>
                            <w:tblCellSpacing w:w="0" w:type="dxa"/>
                            <w:jc w:val="center"/>
                          </w:trPr>
                          <w:tc>
                            <w:tcPr>
                              <w:tcW w:w="0" w:type="auto"/>
                              <w:tcMar>
                                <w:top w:w="375" w:type="dxa"/>
                                <w:left w:w="0" w:type="dxa"/>
                                <w:bottom w:w="0" w:type="dxa"/>
                                <w:right w:w="0" w:type="dxa"/>
                              </w:tcMar>
                              <w:vAlign w:val="center"/>
                              <w:hideMark/>
                            </w:tcPr>
                            <w:tbl>
                              <w:tblPr>
                                <w:tblW w:w="0" w:type="auto"/>
                                <w:jc w:val="center"/>
                                <w:tblCellSpacing w:w="0" w:type="dxa"/>
                                <w:shd w:val="clear" w:color="auto" w:fill="01B097"/>
                                <w:tblCellMar>
                                  <w:left w:w="0" w:type="dxa"/>
                                  <w:right w:w="0" w:type="dxa"/>
                                </w:tblCellMar>
                                <w:tblLook w:val="04A0" w:firstRow="1" w:lastRow="0" w:firstColumn="1" w:lastColumn="0" w:noHBand="0" w:noVBand="1"/>
                              </w:tblPr>
                              <w:tblGrid>
                                <w:gridCol w:w="2507"/>
                                <w:gridCol w:w="420"/>
                              </w:tblGrid>
                              <w:tr w:rsidR="00411015" w14:paraId="1C1E4A9D" w14:textId="77777777">
                                <w:trPr>
                                  <w:tblCellSpacing w:w="0" w:type="dxa"/>
                                  <w:jc w:val="center"/>
                                </w:trPr>
                                <w:tc>
                                  <w:tcPr>
                                    <w:tcW w:w="0" w:type="auto"/>
                                    <w:shd w:val="clear" w:color="auto" w:fill="01B097"/>
                                    <w:tcMar>
                                      <w:top w:w="150" w:type="dxa"/>
                                      <w:left w:w="300" w:type="dxa"/>
                                      <w:bottom w:w="150" w:type="dxa"/>
                                      <w:right w:w="150" w:type="dxa"/>
                                    </w:tcMar>
                                    <w:vAlign w:val="center"/>
                                    <w:hideMark/>
                                  </w:tcPr>
                                  <w:p w14:paraId="25560AC8" w14:textId="77777777" w:rsidR="00411015" w:rsidRDefault="00411015">
                                    <w:pPr>
                                      <w:jc w:val="center"/>
                                      <w:rPr>
                                        <w:rFonts w:ascii="Arial" w:eastAsia="Times New Roman" w:hAnsi="Arial" w:cs="Arial"/>
                                        <w:b/>
                                        <w:bCs/>
                                        <w:color w:val="FFFFFF"/>
                                        <w:sz w:val="23"/>
                                        <w:szCs w:val="23"/>
                                      </w:rPr>
                                    </w:pPr>
                                    <w:hyperlink r:id="rId6" w:history="1">
                                      <w:r>
                                        <w:rPr>
                                          <w:rStyle w:val="Hyperlink"/>
                                          <w:rFonts w:eastAsia="Times New Roman"/>
                                          <w:b/>
                                          <w:bCs/>
                                          <w:color w:val="FFFFFF"/>
                                          <w:sz w:val="23"/>
                                          <w:szCs w:val="23"/>
                                        </w:rPr>
                                        <w:t>FULL STATEMENT</w:t>
                                      </w:r>
                                    </w:hyperlink>
                                    <w:r>
                                      <w:rPr>
                                        <w:rFonts w:ascii="Arial" w:eastAsia="Times New Roman" w:hAnsi="Arial" w:cs="Arial"/>
                                        <w:b/>
                                        <w:bCs/>
                                        <w:color w:val="FFFFFF"/>
                                        <w:sz w:val="23"/>
                                        <w:szCs w:val="23"/>
                                      </w:rPr>
                                      <w:t xml:space="preserve"> </w:t>
                                    </w:r>
                                  </w:p>
                                </w:tc>
                                <w:tc>
                                  <w:tcPr>
                                    <w:tcW w:w="90" w:type="dxa"/>
                                    <w:shd w:val="clear" w:color="auto" w:fill="01B097"/>
                                    <w:tcMar>
                                      <w:top w:w="0" w:type="dxa"/>
                                      <w:left w:w="0" w:type="dxa"/>
                                      <w:bottom w:w="0" w:type="dxa"/>
                                      <w:right w:w="300" w:type="dxa"/>
                                    </w:tcMar>
                                    <w:vAlign w:val="center"/>
                                    <w:hideMark/>
                                  </w:tcPr>
                                  <w:p w14:paraId="70E85553" w14:textId="53005242" w:rsidR="00411015" w:rsidRDefault="00411015">
                                    <w:pPr>
                                      <w:rPr>
                                        <w:rFonts w:ascii="Arial" w:eastAsia="Times New Roman" w:hAnsi="Arial" w:cs="Arial"/>
                                        <w:b/>
                                        <w:bCs/>
                                      </w:rPr>
                                    </w:pPr>
                                    <w:r>
                                      <w:rPr>
                                        <w:rFonts w:ascii="Arial" w:eastAsia="Times New Roman" w:hAnsi="Arial" w:cs="Arial"/>
                                        <w:b/>
                                        <w:bCs/>
                                        <w:noProof/>
                                      </w:rPr>
                                      <w:drawing>
                                        <wp:inline distT="0" distB="0" distL="0" distR="0" wp14:anchorId="4C907957" wp14:editId="1A51E664">
                                          <wp:extent cx="6667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123825"/>
                                                  </a:xfrm>
                                                  <a:prstGeom prst="rect">
                                                    <a:avLst/>
                                                  </a:prstGeom>
                                                  <a:noFill/>
                                                  <a:ln>
                                                    <a:noFill/>
                                                  </a:ln>
                                                </pic:spPr>
                                              </pic:pic>
                                            </a:graphicData>
                                          </a:graphic>
                                        </wp:inline>
                                      </w:drawing>
                                    </w:r>
                                  </w:p>
                                </w:tc>
                              </w:tr>
                            </w:tbl>
                            <w:p w14:paraId="51212D72" w14:textId="77777777" w:rsidR="00411015" w:rsidRDefault="00411015">
                              <w:pPr>
                                <w:jc w:val="center"/>
                                <w:rPr>
                                  <w:rFonts w:ascii="Times New Roman" w:eastAsia="Times New Roman" w:hAnsi="Times New Roman" w:cs="Times New Roman"/>
                                  <w:sz w:val="20"/>
                                  <w:szCs w:val="20"/>
                                </w:rPr>
                              </w:pPr>
                            </w:p>
                          </w:tc>
                        </w:tr>
                      </w:tbl>
                      <w:p w14:paraId="29C72205" w14:textId="77777777" w:rsidR="00411015" w:rsidRDefault="00411015">
                        <w:pPr>
                          <w:jc w:val="center"/>
                          <w:rPr>
                            <w:rFonts w:ascii="Times New Roman" w:eastAsia="Times New Roman" w:hAnsi="Times New Roman" w:cs="Times New Roman"/>
                            <w:sz w:val="20"/>
                            <w:szCs w:val="20"/>
                          </w:rPr>
                        </w:pPr>
                      </w:p>
                    </w:tc>
                  </w:tr>
                </w:tbl>
                <w:p w14:paraId="22B3778B" w14:textId="77777777" w:rsidR="00411015" w:rsidRDefault="00411015">
                  <w:pPr>
                    <w:rPr>
                      <w:rFonts w:ascii="Times New Roman" w:eastAsia="Times New Roman" w:hAnsi="Times New Roman" w:cs="Times New Roman"/>
                      <w:sz w:val="20"/>
                      <w:szCs w:val="20"/>
                    </w:rPr>
                  </w:pPr>
                </w:p>
              </w:tc>
            </w:tr>
          </w:tbl>
          <w:p w14:paraId="7AD3D218" w14:textId="77777777" w:rsidR="00411015" w:rsidRDefault="00411015">
            <w:pPr>
              <w:jc w:val="center"/>
              <w:rPr>
                <w:rFonts w:ascii="Times New Roman" w:eastAsia="Times New Roman" w:hAnsi="Times New Roman" w:cs="Times New Roman"/>
                <w:sz w:val="20"/>
                <w:szCs w:val="20"/>
              </w:rPr>
            </w:pPr>
          </w:p>
        </w:tc>
      </w:tr>
    </w:tbl>
    <w:p w14:paraId="67916483" w14:textId="77777777" w:rsidR="00411015" w:rsidRDefault="00411015" w:rsidP="00411015">
      <w:pPr>
        <w:rPr>
          <w:rFonts w:ascii="Lato" w:eastAsia="Times New Roman" w:hAnsi="Lato"/>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11015" w14:paraId="53717713" w14:textId="77777777" w:rsidTr="00411015">
        <w:trPr>
          <w:tblCellSpacing w:w="0" w:type="dxa"/>
        </w:trPr>
        <w:tc>
          <w:tcPr>
            <w:tcW w:w="5000" w:type="pct"/>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1015" w14:paraId="40943994" w14:textId="77777777">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11015" w14:paraId="0D1615E7" w14:textId="77777777">
                    <w:trPr>
                      <w:tblCellSpacing w:w="0" w:type="dxa"/>
                    </w:trPr>
                    <w:tc>
                      <w:tcPr>
                        <w:tcW w:w="0" w:type="auto"/>
                        <w:vAlign w:val="center"/>
                        <w:hideMark/>
                      </w:tcPr>
                      <w:p w14:paraId="4FC9D5A6" w14:textId="77777777" w:rsidR="00411015" w:rsidRDefault="00411015">
                        <w:pPr>
                          <w:pStyle w:val="NormalWeb"/>
                          <w:rPr>
                            <w:color w:val="000000"/>
                          </w:rPr>
                        </w:pPr>
                        <w:r>
                          <w:rPr>
                            <w:color w:val="000000"/>
                          </w:rPr>
                          <w:t>Dear Suat,</w:t>
                        </w:r>
                        <w:r>
                          <w:rPr>
                            <w:color w:val="000000"/>
                          </w:rPr>
                          <w:br/>
                        </w:r>
                        <w:r>
                          <w:rPr>
                            <w:color w:val="000000"/>
                          </w:rPr>
                          <w:br/>
                          <w:t>It is with deep sadness and heavy hearts that we announce the cancellation of this year’s IMEX in Frankfurt (due to take place 12-14 May).</w:t>
                        </w:r>
                        <w:r>
                          <w:rPr>
                            <w:color w:val="000000"/>
                          </w:rPr>
                          <w:br/>
                        </w:r>
                        <w:r>
                          <w:rPr>
                            <w:color w:val="000000"/>
                          </w:rPr>
                          <w:br/>
                          <w:t>We know that this will come as an enormous disappointment, not only to the exhibitors, buyers and industry professionals who were due to attend the show, but also to the global business events community.</w:t>
                        </w:r>
                        <w:r>
                          <w:rPr>
                            <w:color w:val="000000"/>
                          </w:rPr>
                          <w:br/>
                        </w:r>
                        <w:r>
                          <w:rPr>
                            <w:color w:val="000000"/>
                          </w:rPr>
                          <w:br/>
                          <w:t>This is not a decision we have taken lightly and there are two overriding concerns that have caused us to make this decision at this time. </w:t>
                        </w:r>
                        <w:r>
                          <w:rPr>
                            <w:color w:val="000000"/>
                          </w:rPr>
                          <w:br/>
                        </w:r>
                        <w:r>
                          <w:rPr>
                            <w:color w:val="000000"/>
                          </w:rPr>
                          <w:br/>
                          <w:t>First is the uncertainty caused by the fact that the German health minister has recently called for the ban on events with over 1,000 people which some German states have already endorsed, including the state of Hesse where Frankfurt is located. This announcement makes the probability of factors outside our control forcing us to cancel the show at the last minute much higher. </w:t>
                        </w:r>
                        <w:r>
                          <w:rPr>
                            <w:color w:val="000000"/>
                          </w:rPr>
                          <w:br/>
                        </w:r>
                        <w:r>
                          <w:rPr>
                            <w:color w:val="000000"/>
                          </w:rPr>
                          <w:br/>
                          <w:t>Second, our primary concern is always the responsibility we feel towards our exhibitors and partners, who fund the show – not only by purchasing stand space but also in the considerable additional investment they make in everything from the build of stunning stands to the hosting of buyer events.</w:t>
                        </w:r>
                        <w:r>
                          <w:rPr>
                            <w:color w:val="000000"/>
                          </w:rPr>
                          <w:br/>
                        </w:r>
                        <w:r>
                          <w:rPr>
                            <w:color w:val="000000"/>
                          </w:rPr>
                          <w:br/>
                          <w:t>Whilst only a short time ago we felt optimistic that May was far enough away to confidently proceed with our plans, as it stands today [11 March] we cannot guarantee the one thing that our exhibitors trust us above all else to deliver – namely a large-scale, high quality hosted buyer programme.</w:t>
                        </w:r>
                        <w:r>
                          <w:rPr>
                            <w:color w:val="000000"/>
                          </w:rPr>
                          <w:br/>
                        </w:r>
                        <w:r>
                          <w:rPr>
                            <w:color w:val="000000"/>
                          </w:rPr>
                          <w:br/>
                          <w:t>In an ideal world we would wait and see. But we are in the real world and we cannot, in all good conscience, ask our exhibitors to continue to invest money against which they may not get a return. </w:t>
                        </w:r>
                        <w:r>
                          <w:rPr>
                            <w:color w:val="000000"/>
                          </w:rPr>
                          <w:br/>
                        </w:r>
                        <w:r>
                          <w:rPr>
                            <w:color w:val="000000"/>
                          </w:rPr>
                          <w:br/>
                          <w:t>Both of these factors – uncertainty around whether IMEX will be allowed to proceed, as well as doubts as to the number of buyers who will be able to attend - have led us to the conclusion that we now have no option but to cancel IMEX in Frankfurt.</w:t>
                        </w:r>
                        <w:r>
                          <w:rPr>
                            <w:color w:val="000000"/>
                          </w:rPr>
                          <w:br/>
                        </w:r>
                        <w:r>
                          <w:rPr>
                            <w:color w:val="000000"/>
                          </w:rPr>
                          <w:br/>
                        </w:r>
                        <w:r>
                          <w:rPr>
                            <w:rStyle w:val="Strong"/>
                            <w:color w:val="000000"/>
                          </w:rPr>
                          <w:t>A decision based on facts</w:t>
                        </w:r>
                        <w:r>
                          <w:rPr>
                            <w:color w:val="000000"/>
                          </w:rPr>
                          <w:br/>
                        </w:r>
                        <w:r>
                          <w:rPr>
                            <w:color w:val="000000"/>
                          </w:rPr>
                          <w:br/>
                          <w:t xml:space="preserve">We want to make it very clear that we have made this decision based purely on the facts as we know them </w:t>
                        </w:r>
                        <w:r>
                          <w:rPr>
                            <w:rStyle w:val="Emphasis"/>
                            <w:color w:val="000000"/>
                          </w:rPr>
                          <w:t xml:space="preserve">today </w:t>
                        </w:r>
                        <w:r>
                          <w:rPr>
                            <w:color w:val="000000"/>
                          </w:rPr>
                          <w:t xml:space="preserve">and, importantly for the whole IMEX team, based on the </w:t>
                        </w:r>
                        <w:r>
                          <w:rPr>
                            <w:color w:val="000000"/>
                          </w:rPr>
                          <w:lastRenderedPageBreak/>
                          <w:t>responsibility and genuine care we feel for all our clients and the global business events community. </w:t>
                        </w:r>
                        <w:r>
                          <w:rPr>
                            <w:color w:val="000000"/>
                          </w:rPr>
                          <w:br/>
                        </w:r>
                        <w:r>
                          <w:rPr>
                            <w:color w:val="000000"/>
                          </w:rPr>
                          <w:br/>
                          <w:t>IMEX is our family business and the business events community is the only community we serve. </w:t>
                        </w:r>
                        <w:r>
                          <w:rPr>
                            <w:color w:val="000000"/>
                          </w:rPr>
                          <w:br/>
                        </w:r>
                        <w:r>
                          <w:rPr>
                            <w:color w:val="000000"/>
                          </w:rPr>
                          <w:br/>
                          <w:t>We have tried today to take the best decision for the industry and we are so thankful for the support that has already been shown to us. Quite rightly many of you see yourselves as friends and members of the extended IMEX family.  This is precisely why we’ve thought long and hard in the past few days, consulting in depth with partners and stakeholders across the industry before making this announcement. Our strapline “We Are All Connected” has never felt more true, nor more important.</w:t>
                        </w:r>
                        <w:r>
                          <w:rPr>
                            <w:color w:val="000000"/>
                          </w:rPr>
                          <w:br/>
                        </w:r>
                        <w:r>
                          <w:rPr>
                            <w:color w:val="000000"/>
                          </w:rPr>
                          <w:br/>
                        </w:r>
                        <w:r>
                          <w:rPr>
                            <w:rStyle w:val="Strong"/>
                            <w:color w:val="000000"/>
                          </w:rPr>
                          <w:t>Committed to serving the industry</w:t>
                        </w:r>
                        <w:r>
                          <w:rPr>
                            <w:color w:val="000000"/>
                          </w:rPr>
                          <w:br/>
                        </w:r>
                        <w:r>
                          <w:rPr>
                            <w:color w:val="000000"/>
                          </w:rPr>
                          <w:br/>
                          <w:t>Despite the disappointment and impact we know you will feel, we want you to know that we’re fully committed to serving this industry that we love. We’re already working hard in the background to deliver value and service above and beyond the trade show you were looking forward to and will announce these plans in the near future. </w:t>
                        </w:r>
                        <w:r>
                          <w:rPr>
                            <w:color w:val="000000"/>
                          </w:rPr>
                          <w:br/>
                        </w:r>
                        <w:r>
                          <w:rPr>
                            <w:color w:val="000000"/>
                          </w:rPr>
                          <w:br/>
                          <w:t>We intend to keep morale high and, together with leaders around the world, to focus on collective efforts to rebuild confidence and advocate for the power of business events to aid economic recovery once this situation is over. </w:t>
                        </w:r>
                        <w:r>
                          <w:rPr>
                            <w:color w:val="000000"/>
                          </w:rPr>
                          <w:br/>
                        </w:r>
                        <w:r>
                          <w:rPr>
                            <w:color w:val="000000"/>
                          </w:rPr>
                          <w:br/>
                          <w:t>The IMEX team will also be working hard to deliver a successful IMEX America (15-17 September) with plans to recognise the 10th Anniversary of the show already in full swing. We hope that the business events world will join us in Las Vegas to celebrate our great industry.</w:t>
                        </w:r>
                        <w:r>
                          <w:rPr>
                            <w:color w:val="000000"/>
                          </w:rPr>
                          <w:br/>
                        </w:r>
                        <w:r>
                          <w:rPr>
                            <w:color w:val="000000"/>
                          </w:rPr>
                          <w:br/>
                          <w:t>Once again, we thank the whole industry for the support that has been shown to us and we are here to support others in the industry as we all work through these difficult times.</w:t>
                        </w:r>
                        <w:r>
                          <w:rPr>
                            <w:color w:val="000000"/>
                          </w:rPr>
                          <w:br/>
                        </w:r>
                        <w:r>
                          <w:rPr>
                            <w:color w:val="000000"/>
                          </w:rPr>
                          <w:br/>
                        </w:r>
                        <w:r>
                          <w:rPr>
                            <w:rStyle w:val="Emphasis"/>
                            <w:color w:val="000000"/>
                          </w:rPr>
                          <w:t>Ray and Carina</w:t>
                        </w:r>
                      </w:p>
                    </w:tc>
                  </w:tr>
                </w:tbl>
                <w:p w14:paraId="2352F52B" w14:textId="77777777" w:rsidR="00411015" w:rsidRDefault="00411015">
                  <w:pPr>
                    <w:rPr>
                      <w:rFonts w:ascii="Times New Roman" w:eastAsia="Times New Roman" w:hAnsi="Times New Roman" w:cs="Times New Roman"/>
                      <w:sz w:val="20"/>
                      <w:szCs w:val="20"/>
                    </w:rPr>
                  </w:pPr>
                </w:p>
              </w:tc>
            </w:tr>
          </w:tbl>
          <w:p w14:paraId="1171BD22" w14:textId="77777777" w:rsidR="00411015" w:rsidRDefault="00411015">
            <w:pPr>
              <w:jc w:val="center"/>
              <w:rPr>
                <w:rFonts w:ascii="Times New Roman" w:eastAsia="Times New Roman" w:hAnsi="Times New Roman" w:cs="Times New Roman"/>
                <w:sz w:val="20"/>
                <w:szCs w:val="20"/>
              </w:rPr>
            </w:pPr>
          </w:p>
        </w:tc>
      </w:tr>
    </w:tbl>
    <w:p w14:paraId="42F1F6CF" w14:textId="77777777" w:rsidR="00411015" w:rsidRDefault="00411015" w:rsidP="00411015">
      <w:pPr>
        <w:rPr>
          <w:rFonts w:ascii="Lato" w:eastAsia="Times New Roman" w:hAnsi="Lato"/>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411015" w14:paraId="42ED0091" w14:textId="77777777" w:rsidTr="00411015">
        <w:trPr>
          <w:tblCellSpacing w:w="0" w:type="dxa"/>
        </w:trPr>
        <w:tc>
          <w:tcPr>
            <w:tcW w:w="5000" w:type="pct"/>
            <w:tcMar>
              <w:top w:w="300" w:type="dxa"/>
              <w:left w:w="0" w:type="dxa"/>
              <w:bottom w:w="0" w:type="dxa"/>
              <w:right w:w="0" w:type="dxa"/>
            </w:tcMar>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500"/>
              <w:gridCol w:w="4500"/>
            </w:tblGrid>
            <w:tr w:rsidR="00411015" w14:paraId="75867146" w14:textId="77777777">
              <w:trPr>
                <w:tblCellSpacing w:w="0" w:type="dxa"/>
                <w:jc w:val="center"/>
              </w:trPr>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11015" w14:paraId="55C03674" w14:textId="77777777">
                    <w:trPr>
                      <w:tblCellSpacing w:w="0" w:type="dxa"/>
                      <w:jc w:val="center"/>
                    </w:trPr>
                    <w:tc>
                      <w:tcPr>
                        <w:tcW w:w="0" w:type="auto"/>
                        <w:tcMar>
                          <w:top w:w="0" w:type="dxa"/>
                          <w:left w:w="0" w:type="dxa"/>
                          <w:bottom w:w="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411015" w14:paraId="385789D3" w14:textId="77777777">
                          <w:trPr>
                            <w:tblCellSpacing w:w="0" w:type="dxa"/>
                          </w:trPr>
                          <w:tc>
                            <w:tcPr>
                              <w:tcW w:w="0" w:type="auto"/>
                              <w:tcMar>
                                <w:top w:w="0" w:type="dxa"/>
                                <w:left w:w="0" w:type="dxa"/>
                                <w:bottom w:w="300" w:type="dxa"/>
                                <w:right w:w="0" w:type="dxa"/>
                              </w:tcMar>
                              <w:vAlign w:val="center"/>
                              <w:hideMark/>
                            </w:tcPr>
                            <w:p w14:paraId="5796340C" w14:textId="2D928F6F" w:rsidR="00411015" w:rsidRDefault="00411015">
                              <w:pPr>
                                <w:jc w:val="center"/>
                                <w:rPr>
                                  <w:rFonts w:ascii="Arial" w:eastAsia="Times New Roman" w:hAnsi="Arial" w:cs="Arial"/>
                                </w:rPr>
                              </w:pPr>
                              <w:r>
                                <w:rPr>
                                  <w:rFonts w:ascii="Arial" w:eastAsia="Times New Roman" w:hAnsi="Arial" w:cs="Arial"/>
                                  <w:noProof/>
                                  <w:color w:val="0000FF"/>
                                </w:rPr>
                                <w:drawing>
                                  <wp:inline distT="0" distB="0" distL="0" distR="0" wp14:anchorId="5D8BCD94" wp14:editId="11A622D2">
                                    <wp:extent cx="2762250" cy="1019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1019175"/>
                                            </a:xfrm>
                                            <a:prstGeom prst="rect">
                                              <a:avLst/>
                                            </a:prstGeom>
                                            <a:noFill/>
                                            <a:ln>
                                              <a:noFill/>
                                            </a:ln>
                                          </pic:spPr>
                                        </pic:pic>
                                      </a:graphicData>
                                    </a:graphic>
                                  </wp:inline>
                                </w:drawing>
                              </w:r>
                            </w:p>
                          </w:tc>
                        </w:tr>
                        <w:tr w:rsidR="00411015" w14:paraId="5F22727D" w14:textId="77777777">
                          <w:trPr>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411015" w14:paraId="2744A477" w14:textId="77777777">
                                <w:trPr>
                                  <w:tblCellSpacing w:w="0" w:type="dxa"/>
                                </w:trPr>
                                <w:tc>
                                  <w:tcPr>
                                    <w:tcW w:w="0" w:type="auto"/>
                                    <w:vAlign w:val="center"/>
                                    <w:hideMark/>
                                  </w:tcPr>
                                  <w:p w14:paraId="114F38D9" w14:textId="77777777" w:rsidR="00411015" w:rsidRDefault="00411015">
                                    <w:pPr>
                                      <w:pStyle w:val="NormalWeb"/>
                                      <w:rPr>
                                        <w:color w:val="000000"/>
                                      </w:rPr>
                                    </w:pPr>
                                    <w:r>
                                      <w:rPr>
                                        <w:color w:val="000000"/>
                                      </w:rPr>
                                      <w:t>Chairman, IMEX Group</w:t>
                                    </w:r>
                                  </w:p>
                                </w:tc>
                              </w:tr>
                            </w:tbl>
                            <w:p w14:paraId="0F663596" w14:textId="77777777" w:rsidR="00411015" w:rsidRDefault="00411015">
                              <w:pPr>
                                <w:rPr>
                                  <w:rFonts w:ascii="Times New Roman" w:eastAsia="Times New Roman" w:hAnsi="Times New Roman" w:cs="Times New Roman"/>
                                  <w:sz w:val="20"/>
                                  <w:szCs w:val="20"/>
                                </w:rPr>
                              </w:pPr>
                            </w:p>
                          </w:tc>
                        </w:tr>
                      </w:tbl>
                      <w:p w14:paraId="478F0BB0" w14:textId="77777777" w:rsidR="00411015" w:rsidRDefault="00411015">
                        <w:pPr>
                          <w:rPr>
                            <w:rFonts w:ascii="Times New Roman" w:eastAsia="Times New Roman" w:hAnsi="Times New Roman" w:cs="Times New Roman"/>
                            <w:sz w:val="20"/>
                            <w:szCs w:val="20"/>
                          </w:rPr>
                        </w:pPr>
                      </w:p>
                    </w:tc>
                  </w:tr>
                </w:tbl>
                <w:p w14:paraId="49F5DFF9" w14:textId="77777777" w:rsidR="00411015" w:rsidRDefault="00411015">
                  <w:pPr>
                    <w:jc w:val="center"/>
                    <w:rPr>
                      <w:rFonts w:ascii="Times New Roman" w:eastAsia="Times New Roman" w:hAnsi="Times New Roman" w:cs="Times New Roman"/>
                      <w:sz w:val="20"/>
                      <w:szCs w:val="20"/>
                    </w:rPr>
                  </w:pPr>
                </w:p>
              </w:tc>
              <w:tc>
                <w:tcPr>
                  <w:tcW w:w="45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4500"/>
                  </w:tblGrid>
                  <w:tr w:rsidR="00411015" w14:paraId="7445B602" w14:textId="77777777">
                    <w:trPr>
                      <w:tblCellSpacing w:w="0" w:type="dxa"/>
                      <w:jc w:val="center"/>
                    </w:trPr>
                    <w:tc>
                      <w:tcPr>
                        <w:tcW w:w="0" w:type="auto"/>
                        <w:tcMar>
                          <w:top w:w="0" w:type="dxa"/>
                          <w:left w:w="150"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411015" w14:paraId="69111933" w14:textId="77777777">
                          <w:trPr>
                            <w:tblCellSpacing w:w="0" w:type="dxa"/>
                          </w:trPr>
                          <w:tc>
                            <w:tcPr>
                              <w:tcW w:w="0" w:type="auto"/>
                              <w:tcMar>
                                <w:top w:w="0" w:type="dxa"/>
                                <w:left w:w="0" w:type="dxa"/>
                                <w:bottom w:w="300" w:type="dxa"/>
                                <w:right w:w="0" w:type="dxa"/>
                              </w:tcMar>
                              <w:vAlign w:val="center"/>
                              <w:hideMark/>
                            </w:tcPr>
                            <w:p w14:paraId="789E3982" w14:textId="44C02089" w:rsidR="00411015" w:rsidRDefault="00411015">
                              <w:pPr>
                                <w:jc w:val="center"/>
                                <w:rPr>
                                  <w:rFonts w:ascii="Arial" w:eastAsia="Times New Roman" w:hAnsi="Arial" w:cs="Arial"/>
                                </w:rPr>
                              </w:pPr>
                              <w:r>
                                <w:rPr>
                                  <w:rFonts w:ascii="Arial" w:eastAsia="Times New Roman" w:hAnsi="Arial" w:cs="Arial"/>
                                  <w:noProof/>
                                  <w:color w:val="0000FF"/>
                                </w:rPr>
                                <w:drawing>
                                  <wp:inline distT="0" distB="0" distL="0" distR="0" wp14:anchorId="575A91D6" wp14:editId="174ECAA0">
                                    <wp:extent cx="27622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1019175"/>
                                            </a:xfrm>
                                            <a:prstGeom prst="rect">
                                              <a:avLst/>
                                            </a:prstGeom>
                                            <a:noFill/>
                                            <a:ln>
                                              <a:noFill/>
                                            </a:ln>
                                          </pic:spPr>
                                        </pic:pic>
                                      </a:graphicData>
                                    </a:graphic>
                                  </wp:inline>
                                </w:drawing>
                              </w:r>
                            </w:p>
                          </w:tc>
                        </w:tr>
                        <w:tr w:rsidR="00411015" w14:paraId="63209E51" w14:textId="77777777">
                          <w:trPr>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350"/>
                              </w:tblGrid>
                              <w:tr w:rsidR="00411015" w14:paraId="43E56F02" w14:textId="77777777">
                                <w:trPr>
                                  <w:tblCellSpacing w:w="0" w:type="dxa"/>
                                </w:trPr>
                                <w:tc>
                                  <w:tcPr>
                                    <w:tcW w:w="0" w:type="auto"/>
                                    <w:vAlign w:val="center"/>
                                    <w:hideMark/>
                                  </w:tcPr>
                                  <w:p w14:paraId="5000A5CC" w14:textId="77777777" w:rsidR="00411015" w:rsidRDefault="00411015">
                                    <w:pPr>
                                      <w:pStyle w:val="NormalWeb"/>
                                      <w:rPr>
                                        <w:color w:val="000000"/>
                                      </w:rPr>
                                    </w:pPr>
                                    <w:r>
                                      <w:rPr>
                                        <w:color w:val="000000"/>
                                      </w:rPr>
                                      <w:t>CEO, IMEX Group</w:t>
                                    </w:r>
                                  </w:p>
                                </w:tc>
                              </w:tr>
                            </w:tbl>
                            <w:p w14:paraId="53E068C8" w14:textId="77777777" w:rsidR="00411015" w:rsidRDefault="00411015">
                              <w:pPr>
                                <w:rPr>
                                  <w:rFonts w:ascii="Times New Roman" w:eastAsia="Times New Roman" w:hAnsi="Times New Roman" w:cs="Times New Roman"/>
                                  <w:sz w:val="20"/>
                                  <w:szCs w:val="20"/>
                                </w:rPr>
                              </w:pPr>
                            </w:p>
                          </w:tc>
                        </w:tr>
                      </w:tbl>
                      <w:p w14:paraId="75666536" w14:textId="77777777" w:rsidR="00411015" w:rsidRDefault="00411015">
                        <w:pPr>
                          <w:rPr>
                            <w:rFonts w:ascii="Times New Roman" w:eastAsia="Times New Roman" w:hAnsi="Times New Roman" w:cs="Times New Roman"/>
                            <w:sz w:val="20"/>
                            <w:szCs w:val="20"/>
                          </w:rPr>
                        </w:pPr>
                      </w:p>
                    </w:tc>
                  </w:tr>
                </w:tbl>
                <w:p w14:paraId="3164726C" w14:textId="77777777" w:rsidR="00411015" w:rsidRDefault="00411015">
                  <w:pPr>
                    <w:jc w:val="center"/>
                    <w:rPr>
                      <w:rFonts w:ascii="Times New Roman" w:eastAsia="Times New Roman" w:hAnsi="Times New Roman" w:cs="Times New Roman"/>
                      <w:sz w:val="20"/>
                      <w:szCs w:val="20"/>
                    </w:rPr>
                  </w:pPr>
                </w:p>
              </w:tc>
            </w:tr>
          </w:tbl>
          <w:p w14:paraId="41B474AE" w14:textId="77777777" w:rsidR="00411015" w:rsidRDefault="00411015">
            <w:pPr>
              <w:jc w:val="center"/>
              <w:rPr>
                <w:rFonts w:ascii="Times New Roman" w:eastAsia="Times New Roman" w:hAnsi="Times New Roman" w:cs="Times New Roman"/>
                <w:sz w:val="20"/>
                <w:szCs w:val="20"/>
              </w:rPr>
            </w:pPr>
          </w:p>
        </w:tc>
      </w:tr>
    </w:tbl>
    <w:p w14:paraId="193B8DD9" w14:textId="77777777" w:rsidR="00411015" w:rsidRDefault="00411015" w:rsidP="00411015">
      <w:pPr>
        <w:rPr>
          <w:rFonts w:ascii="Lato" w:eastAsia="Times New Roman" w:hAnsi="Lato"/>
          <w:vanish/>
        </w:rPr>
      </w:pPr>
    </w:p>
    <w:p w14:paraId="65463C95" w14:textId="77777777" w:rsidR="00862FDD" w:rsidRDefault="00862FDD">
      <w:bookmarkStart w:id="0" w:name="_GoBack"/>
      <w:bookmarkEnd w:id="0"/>
    </w:p>
    <w:sectPr w:rsidR="00862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Lato">
    <w:altName w:val="Segoe UI"/>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54EF"/>
    <w:rsid w:val="00411015"/>
    <w:rsid w:val="00862FDD"/>
    <w:rsid w:val="008E54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40570-A6C5-4334-8FCF-5B02AFA9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015"/>
    <w:pPr>
      <w:spacing w:after="0" w:line="240" w:lineRule="auto"/>
    </w:pPr>
    <w:rPr>
      <w:rFonts w:ascii="Calibri" w:hAnsi="Calibri" w:cs="Calibri"/>
      <w:lang w:eastAsia="tr-TR"/>
    </w:rPr>
  </w:style>
  <w:style w:type="paragraph" w:styleId="Heading2">
    <w:name w:val="heading 2"/>
    <w:basedOn w:val="Normal"/>
    <w:link w:val="Heading2Char"/>
    <w:uiPriority w:val="9"/>
    <w:semiHidden/>
    <w:unhideWhenUsed/>
    <w:qFormat/>
    <w:rsid w:val="00411015"/>
    <w:pPr>
      <w:outlineLvl w:val="1"/>
    </w:pPr>
    <w:rPr>
      <w:rFonts w:ascii="Arial" w:hAnsi="Arial" w:cs="Arial"/>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1015"/>
    <w:rPr>
      <w:rFonts w:ascii="Arial" w:hAnsi="Arial" w:cs="Arial"/>
      <w:b/>
      <w:bCs/>
      <w:sz w:val="42"/>
      <w:szCs w:val="42"/>
      <w:lang w:eastAsia="tr-TR"/>
    </w:rPr>
  </w:style>
  <w:style w:type="character" w:styleId="Hyperlink">
    <w:name w:val="Hyperlink"/>
    <w:basedOn w:val="DefaultParagraphFont"/>
    <w:uiPriority w:val="99"/>
    <w:semiHidden/>
    <w:unhideWhenUsed/>
    <w:rsid w:val="00411015"/>
    <w:rPr>
      <w:rFonts w:ascii="Arial" w:hAnsi="Arial" w:cs="Arial" w:hint="default"/>
      <w:color w:val="0000FF"/>
      <w:u w:val="single"/>
    </w:rPr>
  </w:style>
  <w:style w:type="paragraph" w:styleId="NormalWeb">
    <w:name w:val="Normal (Web)"/>
    <w:basedOn w:val="Normal"/>
    <w:uiPriority w:val="99"/>
    <w:semiHidden/>
    <w:unhideWhenUsed/>
    <w:rsid w:val="00411015"/>
    <w:pPr>
      <w:spacing w:line="285" w:lineRule="atLeast"/>
    </w:pPr>
    <w:rPr>
      <w:rFonts w:ascii="Arial" w:hAnsi="Arial" w:cs="Arial"/>
      <w:sz w:val="23"/>
      <w:szCs w:val="23"/>
    </w:rPr>
  </w:style>
  <w:style w:type="character" w:styleId="Strong">
    <w:name w:val="Strong"/>
    <w:basedOn w:val="DefaultParagraphFont"/>
    <w:uiPriority w:val="22"/>
    <w:qFormat/>
    <w:rsid w:val="00411015"/>
    <w:rPr>
      <w:b/>
      <w:bCs/>
    </w:rPr>
  </w:style>
  <w:style w:type="character" w:styleId="Emphasis">
    <w:name w:val="Emphasis"/>
    <w:basedOn w:val="DefaultParagraphFont"/>
    <w:uiPriority w:val="20"/>
    <w:qFormat/>
    <w:rsid w:val="00411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imexexhibitions.com/c/12P5CiQxhNpOZTBHrqf6RNK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mail.imexexhibitions.com/c/12P5ydmYvUey7BqenfAMEvbU"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Tore</dc:creator>
  <cp:keywords/>
  <dc:description/>
  <cp:lastModifiedBy>Suat Tore</cp:lastModifiedBy>
  <cp:revision>2</cp:revision>
  <dcterms:created xsi:type="dcterms:W3CDTF">2020-03-12T09:49:00Z</dcterms:created>
  <dcterms:modified xsi:type="dcterms:W3CDTF">2020-03-12T09:49:00Z</dcterms:modified>
</cp:coreProperties>
</file>